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5472" w14:textId="648E5B4F" w:rsidR="00F43D66" w:rsidRDefault="00185582" w:rsidP="00185582">
      <w:r>
        <w:t xml:space="preserve">The Colorado Fiscal Institute (CFI) promotes tax and budget policies that are effective, efficient, equitable, transparent and accountable. Each year, CFI takes positions on new legislation that affects the </w:t>
      </w:r>
      <w:r w:rsidR="00F43D66">
        <w:t>sustainability</w:t>
      </w:r>
      <w:r>
        <w:t xml:space="preserve"> and </w:t>
      </w:r>
      <w:r w:rsidR="00FE4421">
        <w:t xml:space="preserve">equity </w:t>
      </w:r>
      <w:r>
        <w:t>in Colorado’s state budget and tax system. The staff examines each bill using a set of principles</w:t>
      </w:r>
      <w:r w:rsidR="00E028D9" w:rsidRPr="00FD7119">
        <w:t>, developed from National Conference of State Legislatures</w:t>
      </w:r>
      <w:r w:rsidR="00FD7119">
        <w:t xml:space="preserve"> </w:t>
      </w:r>
      <w:proofErr w:type="gramStart"/>
      <w:r w:rsidR="00FD7119">
        <w:t>guidelines</w:t>
      </w:r>
      <w:r w:rsidR="00E028D9" w:rsidRPr="00FD7119">
        <w:t>,</w:t>
      </w:r>
      <w:r>
        <w:t xml:space="preserve"> that</w:t>
      </w:r>
      <w:proofErr w:type="gramEnd"/>
      <w:r>
        <w:t xml:space="preserve"> reflect our mission of sound fiscal policy </w:t>
      </w:r>
      <w:r w:rsidR="00FE4421">
        <w:t>that improves the well-being of individuals, commu</w:t>
      </w:r>
      <w:r w:rsidR="00F43D66">
        <w:t>nities and the state as a whole.</w:t>
      </w:r>
    </w:p>
    <w:p w14:paraId="71A25FEB" w14:textId="77777777" w:rsidR="00185582" w:rsidRDefault="00185582" w:rsidP="00185582">
      <w:r>
        <w:t>CFI’s principles for evaluating tax credits, deductions and exemptions:</w:t>
      </w:r>
    </w:p>
    <w:p w14:paraId="7D46B7A6" w14:textId="5EDC8E5E" w:rsidR="00FE22AD" w:rsidRDefault="00185582" w:rsidP="00185582">
      <w:pPr>
        <w:pStyle w:val="ListParagraph"/>
        <w:numPr>
          <w:ilvl w:val="0"/>
          <w:numId w:val="1"/>
        </w:numPr>
      </w:pPr>
      <w:r w:rsidRPr="00F43D66">
        <w:rPr>
          <w:b/>
          <w:i/>
        </w:rPr>
        <w:t>Is the tax credit effective?</w:t>
      </w:r>
      <w:r>
        <w:t xml:space="preserve">  When evaluating a new tax credit, CFI considers whether the tax credit is proven to meet a targeted </w:t>
      </w:r>
      <w:r w:rsidR="008A7EDC">
        <w:t xml:space="preserve">goal. </w:t>
      </w:r>
      <w:r w:rsidR="00FE22AD">
        <w:t xml:space="preserve">CFI also considers the return on investment </w:t>
      </w:r>
      <w:r w:rsidR="00E86CDA">
        <w:t>from</w:t>
      </w:r>
      <w:r w:rsidR="00FE22AD">
        <w:t xml:space="preserve"> the tax credit when compared to the benefit and cost of investing in other state priorities.  </w:t>
      </w:r>
    </w:p>
    <w:p w14:paraId="1D00501F" w14:textId="73911DDF" w:rsidR="00FE22AD" w:rsidRDefault="00185582" w:rsidP="00185582">
      <w:pPr>
        <w:pStyle w:val="ListParagraph"/>
        <w:numPr>
          <w:ilvl w:val="0"/>
          <w:numId w:val="1"/>
        </w:numPr>
      </w:pPr>
      <w:r w:rsidRPr="00F43D66">
        <w:rPr>
          <w:b/>
          <w:i/>
        </w:rPr>
        <w:t>Is the tax credit economically efficient?</w:t>
      </w:r>
      <w:r w:rsidRPr="00FE22AD">
        <w:rPr>
          <w:i/>
        </w:rPr>
        <w:t xml:space="preserve"> </w:t>
      </w:r>
      <w:r w:rsidR="00FE22AD">
        <w:rPr>
          <w:i/>
        </w:rPr>
        <w:t xml:space="preserve"> </w:t>
      </w:r>
      <w:r>
        <w:t>CFI evaluates all tax credit</w:t>
      </w:r>
      <w:r w:rsidR="008A7EDC">
        <w:t xml:space="preserve">s from an economic standpoint. A good tax credit will </w:t>
      </w:r>
      <w:r w:rsidR="00FE4421">
        <w:t>produce the intended outcome without signi</w:t>
      </w:r>
      <w:r w:rsidR="00F43D66">
        <w:t>ficant additional cost or disruption</w:t>
      </w:r>
      <w:r w:rsidR="00FE4421">
        <w:t xml:space="preserve"> to public spending or the </w:t>
      </w:r>
      <w:r w:rsidR="00F43D66">
        <w:t>economy</w:t>
      </w:r>
      <w:r w:rsidR="00FE4421">
        <w:t>.</w:t>
      </w:r>
      <w:r w:rsidR="00FE22AD">
        <w:t xml:space="preserve"> CFI also considers the behavior the cre</w:t>
      </w:r>
      <w:r w:rsidR="008A7EDC">
        <w:t xml:space="preserve">dit is intended to incentivize </w:t>
      </w:r>
      <w:r w:rsidR="00FE22AD">
        <w:t xml:space="preserve">and if this behavior would occur without the credit.  </w:t>
      </w:r>
    </w:p>
    <w:p w14:paraId="300E6FA2" w14:textId="7A867090" w:rsidR="00185582" w:rsidRDefault="00185582" w:rsidP="00185582">
      <w:pPr>
        <w:pStyle w:val="ListParagraph"/>
        <w:numPr>
          <w:ilvl w:val="0"/>
          <w:numId w:val="1"/>
        </w:numPr>
      </w:pPr>
      <w:r w:rsidRPr="00F43D66">
        <w:rPr>
          <w:b/>
          <w:i/>
        </w:rPr>
        <w:t>Is the tax credit equitable?</w:t>
      </w:r>
      <w:r>
        <w:rPr>
          <w:i/>
        </w:rPr>
        <w:t xml:space="preserve">  </w:t>
      </w:r>
      <w:r>
        <w:t xml:space="preserve">Equity </w:t>
      </w:r>
      <w:r w:rsidR="00FE22AD">
        <w:t>in evaluating tax credits</w:t>
      </w:r>
      <w:r>
        <w:t xml:space="preserve"> </w:t>
      </w:r>
      <w:r w:rsidR="00FE4421">
        <w:t>focuses on who benefits from the favored tax treatment proposed by the credit or exemption and whether the beneficiaries, both direct and indirect,</w:t>
      </w:r>
      <w:r w:rsidR="00F43D66">
        <w:t xml:space="preserve"> need the favorable treatment.</w:t>
      </w:r>
      <w:r w:rsidR="008A7EDC">
        <w:t xml:space="preserve"> </w:t>
      </w:r>
      <w:r w:rsidR="00FE22AD">
        <w:t>All tax credits create winners and loser</w:t>
      </w:r>
      <w:r w:rsidR="003C1159">
        <w:t>s</w:t>
      </w:r>
      <w:r w:rsidR="00FE22AD">
        <w:t xml:space="preserve"> in the tax system</w:t>
      </w:r>
      <w:r w:rsidR="008A7EDC">
        <w:t>,</w:t>
      </w:r>
      <w:r w:rsidR="00F43D66">
        <w:t xml:space="preserve"> and </w:t>
      </w:r>
      <w:r w:rsidR="00FE4421">
        <w:t>CFI evaluates the impact of the credit on who pays taxes in light of who currently shoulders the largest tax responsibility</w:t>
      </w:r>
      <w:r w:rsidR="00FE22AD">
        <w:t xml:space="preserve">. CFI evaluates the equitable distribution of the tax benefit based on ability to pay and other principles of equity.  </w:t>
      </w:r>
    </w:p>
    <w:p w14:paraId="34DD606F" w14:textId="35F4D79B" w:rsidR="00FE22AD" w:rsidRDefault="00FE22AD" w:rsidP="00185582">
      <w:pPr>
        <w:pStyle w:val="ListParagraph"/>
        <w:numPr>
          <w:ilvl w:val="0"/>
          <w:numId w:val="1"/>
        </w:numPr>
      </w:pPr>
      <w:r w:rsidRPr="00F43D66">
        <w:rPr>
          <w:b/>
          <w:i/>
        </w:rPr>
        <w:t>Will the tax credit be regularly reviewed and evaluated?</w:t>
      </w:r>
      <w:r>
        <w:rPr>
          <w:i/>
        </w:rPr>
        <w:t xml:space="preserve"> </w:t>
      </w:r>
      <w:r w:rsidR="008A7EDC">
        <w:rPr>
          <w:i/>
        </w:rPr>
        <w:t xml:space="preserve"> </w:t>
      </w:r>
      <w:r w:rsidR="00FE4421" w:rsidRPr="00F43D66">
        <w:t xml:space="preserve">Tax credits, just like any general fund appropriation, need regular review to evaluate whether they are working and to let taxpayers know </w:t>
      </w:r>
      <w:r w:rsidR="008A7EDC">
        <w:t xml:space="preserve">how their money is being used. </w:t>
      </w:r>
      <w:r w:rsidRPr="00F43D66">
        <w:t>In</w:t>
      </w:r>
      <w:r>
        <w:t xml:space="preserve"> order to determine if a tax credit is achieving its targeted goal and is the best use of taxpayer dollars, tax credits must be reviewed and evaluated regularly</w:t>
      </w:r>
      <w:r w:rsidR="00FE4421">
        <w:t xml:space="preserve"> based on a clear set of objectives</w:t>
      </w:r>
      <w:r w:rsidR="008A7EDC">
        <w:t xml:space="preserve">. </w:t>
      </w:r>
      <w:r>
        <w:t xml:space="preserve">CFI always considers the measures of transparency and accountability that are included in any new tax credit or economic incentive.  </w:t>
      </w:r>
    </w:p>
    <w:p w14:paraId="2BC96036" w14:textId="0BA73964" w:rsidR="00FE22AD" w:rsidRPr="00FE22AD" w:rsidRDefault="00FE22AD" w:rsidP="00185582">
      <w:pPr>
        <w:pStyle w:val="ListParagraph"/>
        <w:numPr>
          <w:ilvl w:val="0"/>
          <w:numId w:val="1"/>
        </w:numPr>
        <w:rPr>
          <w:i/>
        </w:rPr>
      </w:pPr>
      <w:r w:rsidRPr="00F43D66">
        <w:rPr>
          <w:b/>
          <w:i/>
        </w:rPr>
        <w:t xml:space="preserve">Will the tax credit </w:t>
      </w:r>
      <w:r w:rsidR="00C50FC8">
        <w:rPr>
          <w:b/>
          <w:i/>
        </w:rPr>
        <w:t xml:space="preserve">increase or </w:t>
      </w:r>
      <w:bookmarkStart w:id="0" w:name="_GoBack"/>
      <w:bookmarkEnd w:id="0"/>
      <w:r w:rsidRPr="00F43D66">
        <w:rPr>
          <w:b/>
          <w:i/>
        </w:rPr>
        <w:t>decrease income inequality?</w:t>
      </w:r>
      <w:r>
        <w:rPr>
          <w:i/>
        </w:rPr>
        <w:t xml:space="preserve">  </w:t>
      </w:r>
      <w:r>
        <w:t>Growing income inequality is one of the top roadblocks to economic recovery</w:t>
      </w:r>
      <w:r w:rsidR="00FE4421">
        <w:t xml:space="preserve"> because </w:t>
      </w:r>
      <w:r w:rsidR="00F43D66">
        <w:t>it limits the economic power of</w:t>
      </w:r>
      <w:r>
        <w:t xml:space="preserve"> lo</w:t>
      </w:r>
      <w:r w:rsidR="008A7EDC">
        <w:t xml:space="preserve">w- and middle-income families. </w:t>
      </w:r>
      <w:r>
        <w:t xml:space="preserve">CFI considers the impact </w:t>
      </w:r>
      <w:r w:rsidR="00FE4421">
        <w:t xml:space="preserve">of the credit or exemption </w:t>
      </w:r>
      <w:r>
        <w:t xml:space="preserve">on income inequality when evaluating any new tax credit.  </w:t>
      </w:r>
    </w:p>
    <w:p w14:paraId="677CC1F2" w14:textId="2B90D41A" w:rsidR="00185582" w:rsidRDefault="00B71CA4" w:rsidP="00185582">
      <w:r>
        <w:t>CF</w:t>
      </w:r>
      <w:r w:rsidR="00185582">
        <w:t>I prioritizes policies that broadly benefit working families and generally opposes legislation that creates special tax treatment</w:t>
      </w:r>
      <w:r w:rsidR="008A7EDC">
        <w:t xml:space="preserve"> for small groups of taxpayers. </w:t>
      </w:r>
      <w:r>
        <w:t>CFI</w:t>
      </w:r>
      <w:r w:rsidR="00185582">
        <w:t xml:space="preserve"> staff analyzes the balance between the benefit</w:t>
      </w:r>
      <w:r w:rsidR="00F43D66">
        <w:t xml:space="preserve"> promised by</w:t>
      </w:r>
      <w:r w:rsidR="00185582">
        <w:t xml:space="preserve"> the proposed tax relief </w:t>
      </w:r>
      <w:r w:rsidR="00F43D66">
        <w:t>and</w:t>
      </w:r>
      <w:r w:rsidR="00185582">
        <w:t xml:space="preserve"> the impact of the change in revenue</w:t>
      </w:r>
      <w:r>
        <w:t xml:space="preserve"> in order to determine the best investment of taxpayer dollars</w:t>
      </w:r>
      <w:r w:rsidR="00185582">
        <w:t xml:space="preserve">. </w:t>
      </w:r>
    </w:p>
    <w:p w14:paraId="1110D0DC" w14:textId="77777777" w:rsidR="00127DA9" w:rsidRDefault="00127DA9" w:rsidP="00185582"/>
    <w:p w14:paraId="382941F2" w14:textId="3F8623F9" w:rsidR="00E36A68" w:rsidRDefault="00B71CA4" w:rsidP="00185582">
      <w:r>
        <w:lastRenderedPageBreak/>
        <w:t>CFI</w:t>
      </w:r>
      <w:r w:rsidR="00185582">
        <w:t xml:space="preserve"> opposes the following bills because they violate the principles stated above by creating unfair preferential treatment of certain taxpayers, </w:t>
      </w:r>
      <w:r w:rsidR="008A7EDC">
        <w:t xml:space="preserve">by </w:t>
      </w:r>
      <w:r w:rsidR="00185582">
        <w:t>encouraging policy that has been proven to</w:t>
      </w:r>
      <w:r w:rsidR="008A7EDC">
        <w:t xml:space="preserve"> be ineffective or inefficient </w:t>
      </w:r>
      <w:r w:rsidR="00185582">
        <w:t xml:space="preserve">or </w:t>
      </w:r>
      <w:r w:rsidR="008A7EDC">
        <w:t xml:space="preserve">by </w:t>
      </w:r>
      <w:r>
        <w:t>increasing income inequality</w:t>
      </w:r>
      <w:r w:rsidR="00127DA9">
        <w:t>:</w:t>
      </w:r>
    </w:p>
    <w:p w14:paraId="21D3C35F" w14:textId="77777777" w:rsidR="00A56DCB" w:rsidRDefault="00A56DCB" w:rsidP="00185582">
      <w:pPr>
        <w:sectPr w:rsidR="00A56DCB" w:rsidSect="00B86B8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FAE0E9" w14:textId="77777777" w:rsidR="00A56DCB" w:rsidRDefault="00A56DCB" w:rsidP="00185582">
      <w:pPr>
        <w:rPr>
          <w:b/>
          <w:u w:val="single"/>
        </w:rPr>
      </w:pPr>
      <w:r>
        <w:rPr>
          <w:b/>
          <w:u w:val="single"/>
        </w:rPr>
        <w:lastRenderedPageBreak/>
        <w:t>Oppose</w:t>
      </w:r>
    </w:p>
    <w:p w14:paraId="6B3CF97F" w14:textId="79A58DA4" w:rsidR="00C50FC8" w:rsidRPr="00C50FC8" w:rsidRDefault="00447DAC" w:rsidP="00185582">
      <w:pPr>
        <w:rPr>
          <w:b/>
        </w:rPr>
      </w:pPr>
      <w:r>
        <w:rPr>
          <w:b/>
        </w:rPr>
        <w:t xml:space="preserve">HB 14-1012 – Advanced </w:t>
      </w:r>
      <w:r w:rsidR="000305AF">
        <w:rPr>
          <w:b/>
        </w:rPr>
        <w:t>I</w:t>
      </w:r>
      <w:r>
        <w:rPr>
          <w:b/>
        </w:rPr>
        <w:t xml:space="preserve">ndustries </w:t>
      </w:r>
      <w:r w:rsidR="000305AF">
        <w:rPr>
          <w:b/>
        </w:rPr>
        <w:t>T</w:t>
      </w:r>
      <w:r w:rsidR="009B6A19">
        <w:rPr>
          <w:b/>
        </w:rPr>
        <w:t>a</w:t>
      </w:r>
      <w:r>
        <w:rPr>
          <w:b/>
        </w:rPr>
        <w:t xml:space="preserve">x </w:t>
      </w:r>
      <w:r w:rsidR="000305AF">
        <w:rPr>
          <w:b/>
        </w:rPr>
        <w:t>C</w:t>
      </w:r>
      <w:r>
        <w:rPr>
          <w:b/>
        </w:rPr>
        <w:t>redit</w:t>
      </w:r>
      <w:r w:rsidR="00C50FC8">
        <w:rPr>
          <w:b/>
        </w:rPr>
        <w:br/>
      </w:r>
      <w:r w:rsidR="00C50FC8" w:rsidRPr="00C50FC8">
        <w:rPr>
          <w:i/>
        </w:rPr>
        <w:t xml:space="preserve">Cost - $2 million </w:t>
      </w:r>
      <w:r w:rsidR="00C50FC8">
        <w:rPr>
          <w:i/>
        </w:rPr>
        <w:t>in</w:t>
      </w:r>
      <w:r w:rsidR="00C50FC8" w:rsidRPr="00C50FC8">
        <w:rPr>
          <w:i/>
        </w:rPr>
        <w:t xml:space="preserve"> FY 15-16</w:t>
      </w:r>
    </w:p>
    <w:p w14:paraId="0487C8E5" w14:textId="7A5BEA8A" w:rsidR="00C50FC8" w:rsidRPr="00C50FC8" w:rsidRDefault="00447DAC" w:rsidP="00185582">
      <w:pPr>
        <w:rPr>
          <w:i/>
        </w:rPr>
      </w:pPr>
      <w:r>
        <w:rPr>
          <w:b/>
        </w:rPr>
        <w:t xml:space="preserve">HB 14-1014 – Job </w:t>
      </w:r>
      <w:r w:rsidR="000305AF">
        <w:rPr>
          <w:b/>
        </w:rPr>
        <w:t>G</w:t>
      </w:r>
      <w:r>
        <w:rPr>
          <w:b/>
        </w:rPr>
        <w:t xml:space="preserve">rowth </w:t>
      </w:r>
      <w:r w:rsidR="000305AF">
        <w:rPr>
          <w:b/>
        </w:rPr>
        <w:t>I</w:t>
      </w:r>
      <w:r>
        <w:rPr>
          <w:b/>
        </w:rPr>
        <w:t xml:space="preserve">ncentive </w:t>
      </w:r>
      <w:r w:rsidR="000305AF">
        <w:rPr>
          <w:b/>
        </w:rPr>
        <w:t>T</w:t>
      </w:r>
      <w:r>
        <w:rPr>
          <w:b/>
        </w:rPr>
        <w:t xml:space="preserve">ax </w:t>
      </w:r>
      <w:r w:rsidR="000305AF">
        <w:rPr>
          <w:b/>
        </w:rPr>
        <w:t>C</w:t>
      </w:r>
      <w:r>
        <w:rPr>
          <w:b/>
        </w:rPr>
        <w:t>redit</w:t>
      </w:r>
      <w:r w:rsidR="00C50FC8">
        <w:rPr>
          <w:b/>
        </w:rPr>
        <w:br/>
      </w:r>
      <w:r w:rsidR="00C50FC8">
        <w:rPr>
          <w:i/>
        </w:rPr>
        <w:t>Cost - $55.2 million in FY 27-28</w:t>
      </w:r>
    </w:p>
    <w:p w14:paraId="71F4BD9D" w14:textId="0955F0ED" w:rsidR="00C50FC8" w:rsidRPr="00C50FC8" w:rsidRDefault="00447DAC" w:rsidP="00185582">
      <w:pPr>
        <w:rPr>
          <w:i/>
        </w:rPr>
      </w:pPr>
      <w:r>
        <w:rPr>
          <w:b/>
        </w:rPr>
        <w:t xml:space="preserve">HB 14-1094 – </w:t>
      </w:r>
      <w:r w:rsidR="000305AF">
        <w:rPr>
          <w:b/>
        </w:rPr>
        <w:t>Sales Tax Holiday for School S</w:t>
      </w:r>
      <w:r w:rsidR="009B6A19">
        <w:rPr>
          <w:b/>
        </w:rPr>
        <w:t>upplies</w:t>
      </w:r>
      <w:r w:rsidR="00C50FC8">
        <w:rPr>
          <w:b/>
        </w:rPr>
        <w:br/>
      </w:r>
      <w:r w:rsidR="00C50FC8">
        <w:rPr>
          <w:i/>
        </w:rPr>
        <w:t>Cost - $2.8 million in FY 14-15</w:t>
      </w:r>
    </w:p>
    <w:p w14:paraId="22FF5DFF" w14:textId="27BCBC0E" w:rsidR="002E02BD" w:rsidRPr="00C50FC8" w:rsidRDefault="000305AF" w:rsidP="00185582">
      <w:pPr>
        <w:rPr>
          <w:i/>
        </w:rPr>
      </w:pPr>
      <w:r>
        <w:rPr>
          <w:b/>
        </w:rPr>
        <w:t>HB 14-1178 – Sales Tax Exemption for Property Used in Space F</w:t>
      </w:r>
      <w:r w:rsidR="009B6A19">
        <w:rPr>
          <w:b/>
        </w:rPr>
        <w:t>light</w:t>
      </w:r>
      <w:r w:rsidR="00C50FC8">
        <w:rPr>
          <w:b/>
        </w:rPr>
        <w:br/>
      </w:r>
      <w:r w:rsidR="00C50FC8">
        <w:rPr>
          <w:i/>
        </w:rPr>
        <w:t>Cost - $77,895 in FY 15-16</w:t>
      </w:r>
      <w:r w:rsidR="00C50FC8">
        <w:rPr>
          <w:b/>
        </w:rPr>
        <w:br/>
      </w:r>
      <w:r w:rsidR="00C50FC8">
        <w:rPr>
          <w:b/>
        </w:rPr>
        <w:br/>
      </w:r>
      <w:r w:rsidR="002E02BD">
        <w:rPr>
          <w:b/>
        </w:rPr>
        <w:t xml:space="preserve">HB 14-1279 - </w:t>
      </w:r>
      <w:r w:rsidR="002E02BD" w:rsidRPr="002E02BD">
        <w:rPr>
          <w:b/>
        </w:rPr>
        <w:t xml:space="preserve">Income Tax Credit </w:t>
      </w:r>
      <w:proofErr w:type="gramStart"/>
      <w:r w:rsidR="002E02BD" w:rsidRPr="002E02BD">
        <w:rPr>
          <w:b/>
        </w:rPr>
        <w:t>For</w:t>
      </w:r>
      <w:proofErr w:type="gramEnd"/>
      <w:r w:rsidR="002E02BD" w:rsidRPr="002E02BD">
        <w:rPr>
          <w:b/>
        </w:rPr>
        <w:t xml:space="preserve"> Business Personal Property</w:t>
      </w:r>
      <w:r w:rsidR="00C50FC8">
        <w:rPr>
          <w:b/>
        </w:rPr>
        <w:br/>
      </w:r>
      <w:r w:rsidR="00C50FC8">
        <w:rPr>
          <w:i/>
        </w:rPr>
        <w:t>Cost - $19.9 million in FY 16-17</w:t>
      </w:r>
    </w:p>
    <w:p w14:paraId="0E871F02" w14:textId="445427ED" w:rsidR="00C50FC8" w:rsidRPr="00C50FC8" w:rsidRDefault="00E028D9" w:rsidP="00185582">
      <w:pPr>
        <w:rPr>
          <w:i/>
        </w:rPr>
      </w:pPr>
      <w:r>
        <w:rPr>
          <w:b/>
        </w:rPr>
        <w:t xml:space="preserve">HB 14-1305 - </w:t>
      </w:r>
      <w:r w:rsidRPr="00E028D9">
        <w:rPr>
          <w:b/>
        </w:rPr>
        <w:t>Renewable Energy Enterprise Zone Refund</w:t>
      </w:r>
      <w:r w:rsidR="00C50FC8">
        <w:rPr>
          <w:b/>
        </w:rPr>
        <w:br/>
      </w:r>
      <w:r w:rsidR="00C50FC8">
        <w:rPr>
          <w:i/>
        </w:rPr>
        <w:t>Cost - $8.9 million in FY 14-15</w:t>
      </w:r>
    </w:p>
    <w:p w14:paraId="094B1665" w14:textId="77777777" w:rsidR="00877FBA" w:rsidRDefault="00877FBA" w:rsidP="00185582">
      <w:pPr>
        <w:rPr>
          <w:b/>
        </w:rPr>
      </w:pPr>
    </w:p>
    <w:p w14:paraId="20A6E94D" w14:textId="77777777" w:rsidR="00877FBA" w:rsidRDefault="00877FBA" w:rsidP="00185582">
      <w:pPr>
        <w:rPr>
          <w:b/>
        </w:rPr>
      </w:pPr>
    </w:p>
    <w:p w14:paraId="3E50E2D3" w14:textId="77777777" w:rsidR="00877FBA" w:rsidRDefault="00877FBA" w:rsidP="00185582">
      <w:pPr>
        <w:rPr>
          <w:b/>
        </w:rPr>
      </w:pPr>
    </w:p>
    <w:p w14:paraId="401A86CE" w14:textId="77777777" w:rsidR="00877FBA" w:rsidRDefault="00877FBA" w:rsidP="00185582">
      <w:pPr>
        <w:rPr>
          <w:b/>
        </w:rPr>
      </w:pPr>
    </w:p>
    <w:p w14:paraId="53F5C458" w14:textId="6141A037" w:rsidR="00447DAC" w:rsidRPr="00447DAC" w:rsidRDefault="00447DAC" w:rsidP="00185582">
      <w:pPr>
        <w:rPr>
          <w:b/>
        </w:rPr>
      </w:pPr>
      <w:r>
        <w:rPr>
          <w:b/>
        </w:rPr>
        <w:br/>
      </w:r>
    </w:p>
    <w:p w14:paraId="3AF9853B" w14:textId="77777777" w:rsidR="00447DAC" w:rsidRPr="00A56DCB" w:rsidRDefault="00447DAC" w:rsidP="00185582">
      <w:pPr>
        <w:rPr>
          <w:b/>
        </w:rPr>
      </w:pPr>
    </w:p>
    <w:p w14:paraId="5D91B0B0" w14:textId="77777777" w:rsidR="00A56DCB" w:rsidRPr="00A56DCB" w:rsidRDefault="00A56DCB" w:rsidP="00185582">
      <w:pPr>
        <w:rPr>
          <w:b/>
          <w:u w:val="single"/>
        </w:rPr>
      </w:pPr>
    </w:p>
    <w:p w14:paraId="7A30B186" w14:textId="086E6380" w:rsidR="00F43D66" w:rsidRPr="00A56DCB" w:rsidRDefault="00447DAC" w:rsidP="00185582">
      <w:pPr>
        <w:rPr>
          <w:b/>
          <w:u w:val="single"/>
        </w:rPr>
      </w:pPr>
      <w:r>
        <w:rPr>
          <w:b/>
          <w:u w:val="single"/>
        </w:rPr>
        <w:lastRenderedPageBreak/>
        <w:t>S</w:t>
      </w:r>
      <w:r w:rsidR="00A56DCB" w:rsidRPr="00A56DCB">
        <w:rPr>
          <w:b/>
          <w:u w:val="single"/>
        </w:rPr>
        <w:t>upport</w:t>
      </w:r>
    </w:p>
    <w:p w14:paraId="2346D8EF" w14:textId="1BC9113E" w:rsidR="009B6A19" w:rsidRPr="00C50FC8" w:rsidRDefault="000305AF" w:rsidP="00185582">
      <w:pPr>
        <w:rPr>
          <w:i/>
        </w:rPr>
      </w:pPr>
      <w:r>
        <w:rPr>
          <w:b/>
        </w:rPr>
        <w:t>HB 14-1072 – Child Care Tax C</w:t>
      </w:r>
      <w:r w:rsidR="009B6A19">
        <w:rPr>
          <w:b/>
        </w:rPr>
        <w:t>redit</w:t>
      </w:r>
      <w:r w:rsidR="00C50FC8">
        <w:rPr>
          <w:b/>
        </w:rPr>
        <w:br/>
      </w:r>
      <w:r w:rsidR="00C50FC8" w:rsidRPr="00C50FC8">
        <w:rPr>
          <w:i/>
        </w:rPr>
        <w:t>Cost - $20.1 million in FY 16-17</w:t>
      </w:r>
      <w:r w:rsidR="00C50FC8">
        <w:rPr>
          <w:b/>
        </w:rPr>
        <w:br/>
      </w:r>
      <w:r w:rsidR="00C50FC8">
        <w:rPr>
          <w:b/>
        </w:rPr>
        <w:br/>
      </w:r>
      <w:r>
        <w:rPr>
          <w:b/>
        </w:rPr>
        <w:t>HB 14-1119 – Tax Credit for the Donation of Food to a Hunger-Relief Charitable O</w:t>
      </w:r>
      <w:r w:rsidR="009B6A19">
        <w:rPr>
          <w:b/>
        </w:rPr>
        <w:t xml:space="preserve">rganization </w:t>
      </w:r>
      <w:r w:rsidR="00C50FC8">
        <w:rPr>
          <w:b/>
        </w:rPr>
        <w:br/>
      </w:r>
      <w:r w:rsidR="00C50FC8">
        <w:rPr>
          <w:i/>
        </w:rPr>
        <w:t>Cost - $154,000 in FY 15-16</w:t>
      </w:r>
    </w:p>
    <w:sectPr w:rsidR="009B6A19" w:rsidRPr="00C50FC8" w:rsidSect="00A56DC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2DEA3" w14:textId="77777777" w:rsidR="006448A5" w:rsidRDefault="006448A5" w:rsidP="00E86CDA">
      <w:pPr>
        <w:spacing w:after="0" w:line="240" w:lineRule="auto"/>
      </w:pPr>
      <w:r>
        <w:separator/>
      </w:r>
    </w:p>
  </w:endnote>
  <w:endnote w:type="continuationSeparator" w:id="0">
    <w:p w14:paraId="127DFD7F" w14:textId="77777777" w:rsidR="006448A5" w:rsidRDefault="006448A5" w:rsidP="00E8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3156" w14:textId="77777777" w:rsidR="00E86CDA" w:rsidRDefault="00E86CDA">
    <w:pPr>
      <w:pStyle w:val="Footer"/>
    </w:pPr>
  </w:p>
  <w:p w14:paraId="08D5A18A" w14:textId="77777777" w:rsidR="00E86CDA" w:rsidRPr="00E86CDA" w:rsidRDefault="00E86CDA">
    <w:pPr>
      <w:pStyle w:val="Footer"/>
      <w:rPr>
        <w:b/>
        <w:color w:val="723A77"/>
        <w:sz w:val="18"/>
        <w:szCs w:val="18"/>
      </w:rPr>
    </w:pPr>
    <w:r w:rsidRPr="00E86CDA">
      <w:rPr>
        <w:b/>
        <w:color w:val="723A77"/>
        <w:sz w:val="18"/>
        <w:szCs w:val="18"/>
      </w:rPr>
      <w:t>Ali Mickelson</w:t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  <w:t>Carolyn Siegel</w:t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</w:r>
  </w:p>
  <w:p w14:paraId="06A2D0D3" w14:textId="77777777" w:rsidR="00E86CDA" w:rsidRPr="00E86CDA" w:rsidRDefault="00E86CDA">
    <w:pPr>
      <w:pStyle w:val="Footer"/>
      <w:rPr>
        <w:b/>
        <w:color w:val="723A77"/>
        <w:sz w:val="18"/>
        <w:szCs w:val="18"/>
      </w:rPr>
    </w:pPr>
    <w:r w:rsidRPr="00E86CDA">
      <w:rPr>
        <w:b/>
        <w:color w:val="723A77"/>
        <w:sz w:val="18"/>
        <w:szCs w:val="18"/>
      </w:rPr>
      <w:t>720-379-3019 x 222</w:t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  <w:t>303-710-2856</w:t>
    </w:r>
  </w:p>
  <w:p w14:paraId="2F31F024" w14:textId="4DD68D03" w:rsidR="00E86CDA" w:rsidRDefault="006448A5">
    <w:pPr>
      <w:pStyle w:val="Footer"/>
    </w:pPr>
    <w:hyperlink r:id="rId1" w:history="1">
      <w:r w:rsidR="00E86CDA" w:rsidRPr="00E86CDA">
        <w:rPr>
          <w:rStyle w:val="Hyperlink"/>
          <w:b/>
          <w:sz w:val="18"/>
          <w:szCs w:val="18"/>
        </w:rPr>
        <w:t>mickelson@coloradofiscal.org</w:t>
      </w:r>
    </w:hyperlink>
    <w:r w:rsidR="00E86CDA" w:rsidRPr="00E86CDA">
      <w:rPr>
        <w:b/>
        <w:sz w:val="18"/>
        <w:szCs w:val="18"/>
      </w:rPr>
      <w:tab/>
    </w:r>
    <w:r w:rsidR="00E86CDA" w:rsidRPr="00E86CDA">
      <w:rPr>
        <w:b/>
        <w:sz w:val="18"/>
        <w:szCs w:val="18"/>
      </w:rPr>
      <w:tab/>
    </w:r>
    <w:hyperlink r:id="rId2" w:history="1">
      <w:r w:rsidR="00762982" w:rsidRPr="000B1E6A">
        <w:rPr>
          <w:rStyle w:val="Hyperlink"/>
          <w:b/>
          <w:sz w:val="18"/>
          <w:szCs w:val="18"/>
        </w:rPr>
        <w:t>carolyn@siegelpa.com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D65B8" w14:textId="77777777" w:rsidR="006448A5" w:rsidRDefault="006448A5" w:rsidP="00E86CDA">
      <w:pPr>
        <w:spacing w:after="0" w:line="240" w:lineRule="auto"/>
      </w:pPr>
      <w:r>
        <w:separator/>
      </w:r>
    </w:p>
  </w:footnote>
  <w:footnote w:type="continuationSeparator" w:id="0">
    <w:p w14:paraId="0C6618D9" w14:textId="77777777" w:rsidR="006448A5" w:rsidRDefault="006448A5" w:rsidP="00E8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1FED" w14:textId="77777777" w:rsidR="00E86CDA" w:rsidRDefault="00E86CDA" w:rsidP="00E86CDA">
    <w:pPr>
      <w:pStyle w:val="Header"/>
      <w:jc w:val="center"/>
    </w:pPr>
    <w:r>
      <w:rPr>
        <w:noProof/>
      </w:rPr>
      <w:drawing>
        <wp:inline distT="0" distB="0" distL="0" distR="0" wp14:anchorId="10C2042A" wp14:editId="7E2684A3">
          <wp:extent cx="2286000" cy="11460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I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4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7754"/>
    <w:multiLevelType w:val="hybridMultilevel"/>
    <w:tmpl w:val="67B6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82"/>
    <w:rsid w:val="000172B5"/>
    <w:rsid w:val="000305AF"/>
    <w:rsid w:val="00066F04"/>
    <w:rsid w:val="00127DA9"/>
    <w:rsid w:val="00185582"/>
    <w:rsid w:val="00210FF6"/>
    <w:rsid w:val="0026126D"/>
    <w:rsid w:val="002E02BD"/>
    <w:rsid w:val="002F1F5F"/>
    <w:rsid w:val="003154F6"/>
    <w:rsid w:val="003C1159"/>
    <w:rsid w:val="00441198"/>
    <w:rsid w:val="00447DAC"/>
    <w:rsid w:val="00527C04"/>
    <w:rsid w:val="006448A5"/>
    <w:rsid w:val="0064501B"/>
    <w:rsid w:val="006502EA"/>
    <w:rsid w:val="006678CE"/>
    <w:rsid w:val="006D66F4"/>
    <w:rsid w:val="00762982"/>
    <w:rsid w:val="00792C31"/>
    <w:rsid w:val="00877FBA"/>
    <w:rsid w:val="008A7EDC"/>
    <w:rsid w:val="00914133"/>
    <w:rsid w:val="00932409"/>
    <w:rsid w:val="009B6A19"/>
    <w:rsid w:val="00A56DCB"/>
    <w:rsid w:val="00AC1368"/>
    <w:rsid w:val="00B71CA4"/>
    <w:rsid w:val="00B86B82"/>
    <w:rsid w:val="00C50FC8"/>
    <w:rsid w:val="00C90399"/>
    <w:rsid w:val="00DA74EA"/>
    <w:rsid w:val="00E028D9"/>
    <w:rsid w:val="00E4030B"/>
    <w:rsid w:val="00E86CDA"/>
    <w:rsid w:val="00F43D66"/>
    <w:rsid w:val="00FD04A1"/>
    <w:rsid w:val="00FD7119"/>
    <w:rsid w:val="00FE22AD"/>
    <w:rsid w:val="00FE4421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BA4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DA"/>
  </w:style>
  <w:style w:type="paragraph" w:styleId="Footer">
    <w:name w:val="footer"/>
    <w:basedOn w:val="Normal"/>
    <w:link w:val="FooterChar"/>
    <w:uiPriority w:val="99"/>
    <w:unhideWhenUsed/>
    <w:rsid w:val="00E8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DA"/>
  </w:style>
  <w:style w:type="paragraph" w:styleId="BalloonText">
    <w:name w:val="Balloon Text"/>
    <w:basedOn w:val="Normal"/>
    <w:link w:val="BalloonTextChar"/>
    <w:uiPriority w:val="99"/>
    <w:semiHidden/>
    <w:unhideWhenUsed/>
    <w:rsid w:val="00E8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DA"/>
  </w:style>
  <w:style w:type="paragraph" w:styleId="Footer">
    <w:name w:val="footer"/>
    <w:basedOn w:val="Normal"/>
    <w:link w:val="FooterChar"/>
    <w:uiPriority w:val="99"/>
    <w:unhideWhenUsed/>
    <w:rsid w:val="00E8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DA"/>
  </w:style>
  <w:style w:type="paragraph" w:styleId="BalloonText">
    <w:name w:val="Balloon Text"/>
    <w:basedOn w:val="Normal"/>
    <w:link w:val="BalloonTextChar"/>
    <w:uiPriority w:val="99"/>
    <w:semiHidden/>
    <w:unhideWhenUsed/>
    <w:rsid w:val="00E8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yn@siegelpa.com" TargetMode="External"/><Relationship Id="rId1" Type="http://schemas.openxmlformats.org/officeDocument/2006/relationships/hyperlink" Target="mailto:mickelson@coloradofisc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Mickelson</dc:creator>
  <cp:lastModifiedBy>Ali Mickelson</cp:lastModifiedBy>
  <cp:revision>2</cp:revision>
  <cp:lastPrinted>2014-03-21T20:46:00Z</cp:lastPrinted>
  <dcterms:created xsi:type="dcterms:W3CDTF">2014-03-26T19:28:00Z</dcterms:created>
  <dcterms:modified xsi:type="dcterms:W3CDTF">2014-03-26T19:28:00Z</dcterms:modified>
</cp:coreProperties>
</file>